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before="191" w:line="237" w:lineRule="auto"/>
        <w:ind w:left="2646" w:right="1486" w:hanging="116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6"/>
          <w:sz w:val="42"/>
          <w:szCs w:val="42"/>
        </w:rPr>
        <w:t>2024年度省教育纪检监察学会</w:t>
      </w:r>
      <w:r>
        <w:rPr>
          <w:rFonts w:ascii="宋体" w:hAnsi="宋体" w:eastAsia="宋体" w:cs="宋体"/>
          <w:spacing w:val="9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重点课题选题指南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97" w:line="593" w:lineRule="exact"/>
        <w:ind w:right="32"/>
        <w:jc w:val="right"/>
        <w:rPr>
          <w:sz w:val="30"/>
          <w:szCs w:val="30"/>
        </w:rPr>
      </w:pPr>
      <w:r>
        <w:rPr>
          <w:spacing w:val="17"/>
          <w:position w:val="21"/>
          <w:sz w:val="30"/>
          <w:szCs w:val="30"/>
        </w:rPr>
        <w:t>1.习近平总书记关于党的自我革命重要思想的理论内涵与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实践进路研究；</w:t>
      </w:r>
    </w:p>
    <w:p>
      <w:pPr>
        <w:pStyle w:val="2"/>
        <w:spacing w:before="197" w:line="611" w:lineRule="exact"/>
        <w:jc w:val="right"/>
        <w:rPr>
          <w:sz w:val="30"/>
          <w:szCs w:val="30"/>
        </w:rPr>
      </w:pPr>
      <w:r>
        <w:rPr>
          <w:spacing w:val="-5"/>
          <w:position w:val="23"/>
          <w:sz w:val="30"/>
          <w:szCs w:val="30"/>
        </w:rPr>
        <w:t>2.高等教育领域突出“两个维护”推进政治监督具体化、精准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z w:val="30"/>
          <w:szCs w:val="30"/>
        </w:rPr>
        <w:t>化、常态化研究；</w:t>
      </w:r>
    </w:p>
    <w:p>
      <w:pPr>
        <w:pStyle w:val="2"/>
        <w:spacing w:before="229" w:line="222" w:lineRule="auto"/>
        <w:ind w:left="619"/>
        <w:rPr>
          <w:sz w:val="30"/>
          <w:szCs w:val="30"/>
        </w:rPr>
      </w:pPr>
      <w:r>
        <w:rPr>
          <w:spacing w:val="4"/>
          <w:sz w:val="30"/>
          <w:szCs w:val="30"/>
        </w:rPr>
        <w:t>3.政治监督推进大学治理现代化的任务聚焦与实现路径；</w:t>
      </w:r>
    </w:p>
    <w:p>
      <w:pPr>
        <w:pStyle w:val="2"/>
        <w:spacing w:before="198" w:line="601" w:lineRule="exact"/>
        <w:ind w:right="24"/>
        <w:jc w:val="right"/>
        <w:rPr>
          <w:sz w:val="30"/>
          <w:szCs w:val="30"/>
        </w:rPr>
      </w:pPr>
      <w:r>
        <w:rPr>
          <w:spacing w:val="-5"/>
          <w:position w:val="22"/>
          <w:sz w:val="30"/>
          <w:szCs w:val="30"/>
        </w:rPr>
        <w:t>4.高校“一把手”监督和同级监督的现实困境</w:t>
      </w:r>
      <w:r>
        <w:rPr>
          <w:spacing w:val="-6"/>
          <w:position w:val="22"/>
          <w:sz w:val="30"/>
          <w:szCs w:val="30"/>
        </w:rPr>
        <w:t>、归因分析与化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解策略研究；</w:t>
      </w:r>
    </w:p>
    <w:p>
      <w:pPr>
        <w:pStyle w:val="2"/>
        <w:spacing w:before="215" w:line="219" w:lineRule="auto"/>
        <w:ind w:left="619"/>
        <w:rPr>
          <w:sz w:val="30"/>
          <w:szCs w:val="30"/>
        </w:rPr>
      </w:pPr>
      <w:r>
        <w:rPr>
          <w:spacing w:val="3"/>
          <w:sz w:val="30"/>
          <w:szCs w:val="30"/>
        </w:rPr>
        <w:t>5.健全全面从严治党体系的政治逻辑与基本理路研究；</w:t>
      </w:r>
    </w:p>
    <w:p>
      <w:pPr>
        <w:pStyle w:val="2"/>
        <w:spacing w:before="237" w:line="591" w:lineRule="exact"/>
        <w:ind w:right="35"/>
        <w:jc w:val="right"/>
        <w:rPr>
          <w:sz w:val="30"/>
          <w:szCs w:val="30"/>
        </w:rPr>
      </w:pPr>
      <w:r>
        <w:rPr>
          <w:spacing w:val="5"/>
          <w:position w:val="21"/>
          <w:sz w:val="30"/>
          <w:szCs w:val="30"/>
        </w:rPr>
        <w:t>6.江苏高校坚决扛牢“全面从严治党”首提地政治责任的思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路与举措研究；</w:t>
      </w:r>
    </w:p>
    <w:p>
      <w:pPr>
        <w:pStyle w:val="2"/>
        <w:spacing w:before="229" w:line="222" w:lineRule="auto"/>
        <w:ind w:left="619"/>
        <w:rPr>
          <w:sz w:val="30"/>
          <w:szCs w:val="30"/>
        </w:rPr>
      </w:pPr>
      <w:r>
        <w:rPr>
          <w:spacing w:val="-7"/>
          <w:sz w:val="30"/>
          <w:szCs w:val="30"/>
        </w:rPr>
        <w:t>7.一体推进“三不腐”同时发力、同向发力、综合发力研究；</w:t>
      </w:r>
    </w:p>
    <w:p>
      <w:pPr>
        <w:pStyle w:val="2"/>
        <w:spacing w:before="205" w:line="604" w:lineRule="exact"/>
        <w:ind w:right="42"/>
        <w:jc w:val="right"/>
        <w:rPr>
          <w:sz w:val="30"/>
          <w:szCs w:val="30"/>
        </w:rPr>
      </w:pPr>
      <w:r>
        <w:rPr>
          <w:spacing w:val="5"/>
          <w:position w:val="22"/>
          <w:sz w:val="30"/>
          <w:szCs w:val="30"/>
        </w:rPr>
        <w:t>8.坚持纠树并举，系统推进党风政风、师德师风、校风学风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5"/>
          <w:sz w:val="30"/>
          <w:szCs w:val="30"/>
        </w:rPr>
        <w:t>建设研究；</w:t>
      </w:r>
    </w:p>
    <w:p>
      <w:pPr>
        <w:pStyle w:val="2"/>
        <w:spacing w:before="217" w:line="222" w:lineRule="auto"/>
        <w:ind w:left="619"/>
        <w:rPr>
          <w:sz w:val="30"/>
          <w:szCs w:val="30"/>
        </w:rPr>
      </w:pPr>
      <w:r>
        <w:rPr>
          <w:spacing w:val="3"/>
          <w:sz w:val="30"/>
          <w:szCs w:val="30"/>
        </w:rPr>
        <w:t>9.高校构建廉洁政治生态的价值、问题和对策研究；</w:t>
      </w:r>
    </w:p>
    <w:p>
      <w:pPr>
        <w:pStyle w:val="2"/>
        <w:spacing w:before="211" w:line="607" w:lineRule="exact"/>
        <w:ind w:right="42"/>
        <w:jc w:val="right"/>
        <w:rPr>
          <w:sz w:val="30"/>
          <w:szCs w:val="30"/>
        </w:rPr>
      </w:pPr>
      <w:r>
        <w:rPr>
          <w:spacing w:val="6"/>
          <w:position w:val="22"/>
          <w:sz w:val="30"/>
          <w:szCs w:val="30"/>
        </w:rPr>
        <w:t>10.</w:t>
      </w:r>
      <w:r>
        <w:rPr>
          <w:spacing w:val="-28"/>
          <w:position w:val="22"/>
          <w:sz w:val="30"/>
          <w:szCs w:val="30"/>
        </w:rPr>
        <w:t xml:space="preserve"> </w:t>
      </w:r>
      <w:r>
        <w:rPr>
          <w:spacing w:val="6"/>
          <w:position w:val="22"/>
          <w:sz w:val="30"/>
          <w:szCs w:val="30"/>
        </w:rPr>
        <w:t>以学习贯彻新修订的《中国共产党纪律处分条例》为契</w:t>
      </w:r>
    </w:p>
    <w:p>
      <w:pPr>
        <w:pStyle w:val="2"/>
        <w:spacing w:line="220" w:lineRule="auto"/>
        <w:rPr>
          <w:sz w:val="30"/>
          <w:szCs w:val="30"/>
        </w:rPr>
      </w:pPr>
      <w:r>
        <w:rPr>
          <w:spacing w:val="5"/>
          <w:sz w:val="30"/>
          <w:szCs w:val="30"/>
        </w:rPr>
        <w:t>机，提升高校集中性纪律教育实效性研究；</w:t>
      </w:r>
    </w:p>
    <w:p>
      <w:pPr>
        <w:spacing w:line="220" w:lineRule="auto"/>
        <w:rPr>
          <w:sz w:val="30"/>
          <w:szCs w:val="30"/>
        </w:rPr>
        <w:sectPr>
          <w:footerReference r:id="rId5" w:type="default"/>
          <w:pgSz w:w="11900" w:h="16830"/>
          <w:pgMar w:top="1430" w:right="1781" w:bottom="1298" w:left="1519" w:header="0" w:footer="1159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97" w:line="575" w:lineRule="exact"/>
        <w:jc w:val="right"/>
        <w:rPr>
          <w:sz w:val="30"/>
          <w:szCs w:val="30"/>
        </w:rPr>
      </w:pPr>
      <w:r>
        <w:rPr>
          <w:spacing w:val="11"/>
          <w:position w:val="20"/>
          <w:sz w:val="30"/>
          <w:szCs w:val="30"/>
        </w:rPr>
        <w:t>11.中华传统廉洁文化融入高校党风廉政建设的内在机</w:t>
      </w:r>
      <w:r>
        <w:rPr>
          <w:spacing w:val="10"/>
          <w:position w:val="20"/>
          <w:sz w:val="30"/>
          <w:szCs w:val="30"/>
        </w:rPr>
        <w:t>理与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现实路径研究；</w:t>
      </w:r>
    </w:p>
    <w:p>
      <w:pPr>
        <w:pStyle w:val="2"/>
        <w:spacing w:before="237" w:line="581" w:lineRule="exact"/>
        <w:ind w:right="29"/>
        <w:jc w:val="right"/>
        <w:rPr>
          <w:sz w:val="30"/>
          <w:szCs w:val="30"/>
        </w:rPr>
      </w:pPr>
      <w:r>
        <w:rPr>
          <w:spacing w:val="-1"/>
          <w:position w:val="20"/>
          <w:sz w:val="30"/>
          <w:szCs w:val="30"/>
        </w:rPr>
        <w:t>12.“三个区分开来”要求下高校党员干部干事</w:t>
      </w:r>
      <w:r>
        <w:rPr>
          <w:spacing w:val="-2"/>
          <w:position w:val="20"/>
          <w:sz w:val="30"/>
          <w:szCs w:val="30"/>
        </w:rPr>
        <w:t>创业激励机制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9"/>
          <w:sz w:val="30"/>
          <w:szCs w:val="30"/>
        </w:rPr>
        <w:t>研究；</w:t>
      </w:r>
    </w:p>
    <w:p>
      <w:pPr>
        <w:pStyle w:val="2"/>
        <w:spacing w:before="237" w:line="563" w:lineRule="exact"/>
        <w:ind w:right="15"/>
        <w:jc w:val="right"/>
        <w:rPr>
          <w:sz w:val="30"/>
          <w:szCs w:val="30"/>
        </w:rPr>
      </w:pPr>
      <w:r>
        <w:rPr>
          <w:spacing w:val="22"/>
          <w:position w:val="19"/>
          <w:sz w:val="30"/>
          <w:szCs w:val="30"/>
        </w:rPr>
        <w:t>13.总体国家安全观视域下高校安全风险及其防范机制研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究；</w:t>
      </w:r>
    </w:p>
    <w:p>
      <w:pPr>
        <w:pStyle w:val="2"/>
        <w:spacing w:before="252" w:line="599" w:lineRule="exact"/>
        <w:ind w:right="9"/>
        <w:jc w:val="right"/>
        <w:rPr>
          <w:sz w:val="30"/>
          <w:szCs w:val="30"/>
        </w:rPr>
      </w:pPr>
      <w:r>
        <w:rPr>
          <w:spacing w:val="10"/>
          <w:position w:val="22"/>
          <w:sz w:val="30"/>
          <w:szCs w:val="30"/>
        </w:rPr>
        <w:t>14.监督视角下高校科研治理体系建设提升服务国家重大战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4"/>
          <w:sz w:val="30"/>
          <w:szCs w:val="30"/>
        </w:rPr>
        <w:t>略需求和经济社会发展能力的路径研究；</w:t>
      </w:r>
    </w:p>
    <w:p>
      <w:pPr>
        <w:pStyle w:val="2"/>
        <w:spacing w:before="211" w:line="221" w:lineRule="auto"/>
        <w:rPr>
          <w:sz w:val="30"/>
          <w:szCs w:val="30"/>
        </w:rPr>
      </w:pPr>
      <w:r>
        <w:rPr>
          <w:spacing w:val="-10"/>
          <w:sz w:val="30"/>
          <w:szCs w:val="30"/>
        </w:rPr>
        <w:t>15.“受贿行贿一起查”的规范化、法治化路径研究；</w:t>
      </w:r>
    </w:p>
    <w:p>
      <w:pPr>
        <w:pStyle w:val="2"/>
        <w:spacing w:before="232" w:line="222" w:lineRule="auto"/>
        <w:ind w:left="580"/>
        <w:rPr>
          <w:sz w:val="30"/>
          <w:szCs w:val="30"/>
        </w:rPr>
      </w:pPr>
      <w:r>
        <w:rPr>
          <w:spacing w:val="2"/>
          <w:sz w:val="30"/>
          <w:szCs w:val="30"/>
        </w:rPr>
        <w:t>16.深化高校附属医院医药领域反腐败治理研究；</w:t>
      </w:r>
    </w:p>
    <w:p>
      <w:pPr>
        <w:pStyle w:val="2"/>
        <w:spacing w:before="215" w:line="597" w:lineRule="exact"/>
        <w:ind w:right="15"/>
        <w:jc w:val="right"/>
        <w:rPr>
          <w:sz w:val="30"/>
          <w:szCs w:val="30"/>
        </w:rPr>
      </w:pPr>
      <w:r>
        <w:rPr>
          <w:spacing w:val="10"/>
          <w:position w:val="22"/>
          <w:sz w:val="30"/>
          <w:szCs w:val="30"/>
        </w:rPr>
        <w:t>17.高校监督执纪“四种形态”精准规范运用的形态转换研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究；</w:t>
      </w:r>
    </w:p>
    <w:p>
      <w:pPr>
        <w:pStyle w:val="2"/>
        <w:spacing w:before="232" w:line="222" w:lineRule="auto"/>
        <w:ind w:left="580"/>
        <w:rPr>
          <w:sz w:val="30"/>
          <w:szCs w:val="30"/>
        </w:rPr>
      </w:pPr>
      <w:r>
        <w:rPr>
          <w:spacing w:val="4"/>
          <w:sz w:val="30"/>
          <w:szCs w:val="30"/>
        </w:rPr>
        <w:t>18.江苏高校纪律处分与刑事犯罪处罚的衔接机制研究；</w:t>
      </w:r>
    </w:p>
    <w:p>
      <w:pPr>
        <w:pStyle w:val="2"/>
        <w:spacing w:before="237" w:line="580" w:lineRule="exact"/>
        <w:ind w:right="13"/>
        <w:jc w:val="right"/>
        <w:rPr>
          <w:sz w:val="30"/>
          <w:szCs w:val="30"/>
        </w:rPr>
      </w:pPr>
      <w:r>
        <w:rPr>
          <w:spacing w:val="10"/>
          <w:position w:val="21"/>
          <w:sz w:val="30"/>
          <w:szCs w:val="30"/>
        </w:rPr>
        <w:t>19.贯彻落实新修订的《中国共产党巡视工作条例》对提升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6"/>
          <w:sz w:val="30"/>
          <w:szCs w:val="30"/>
        </w:rPr>
        <w:t>高校巡视巡察工作制度化规范化水平的贡献研究；</w:t>
      </w:r>
    </w:p>
    <w:p>
      <w:pPr>
        <w:pStyle w:val="2"/>
        <w:spacing w:before="224" w:line="222" w:lineRule="auto"/>
        <w:ind w:left="580"/>
        <w:rPr>
          <w:sz w:val="30"/>
          <w:szCs w:val="30"/>
        </w:rPr>
      </w:pPr>
      <w:r>
        <w:rPr>
          <w:spacing w:val="4"/>
          <w:sz w:val="30"/>
          <w:szCs w:val="30"/>
        </w:rPr>
        <w:t>20.高校巡视巡察监督与其他监督贯通协调机制研究；</w:t>
      </w:r>
    </w:p>
    <w:p>
      <w:pPr>
        <w:pStyle w:val="2"/>
        <w:spacing w:before="238" w:line="582" w:lineRule="exact"/>
        <w:ind w:right="17"/>
        <w:jc w:val="right"/>
        <w:rPr>
          <w:sz w:val="30"/>
          <w:szCs w:val="30"/>
        </w:rPr>
      </w:pPr>
      <w:r>
        <w:rPr>
          <w:spacing w:val="10"/>
          <w:position w:val="20"/>
          <w:sz w:val="30"/>
          <w:szCs w:val="30"/>
        </w:rPr>
        <w:t>21.基于全周期理念的高校巡视巡察整改和成果运用保障机</w:t>
      </w:r>
    </w:p>
    <w:p>
      <w:pPr>
        <w:pStyle w:val="2"/>
        <w:spacing w:before="1" w:line="221" w:lineRule="auto"/>
        <w:rPr>
          <w:sz w:val="30"/>
          <w:szCs w:val="30"/>
        </w:rPr>
      </w:pPr>
      <w:r>
        <w:rPr>
          <w:spacing w:val="-8"/>
          <w:sz w:val="30"/>
          <w:szCs w:val="30"/>
        </w:rPr>
        <w:t>制研究；</w:t>
      </w:r>
    </w:p>
    <w:p>
      <w:pPr>
        <w:pStyle w:val="2"/>
        <w:spacing w:before="226" w:line="601" w:lineRule="exact"/>
        <w:ind w:left="580"/>
        <w:rPr>
          <w:sz w:val="30"/>
          <w:szCs w:val="30"/>
        </w:rPr>
      </w:pPr>
      <w:r>
        <w:rPr>
          <w:spacing w:val="4"/>
          <w:position w:val="22"/>
          <w:sz w:val="30"/>
          <w:szCs w:val="30"/>
        </w:rPr>
        <w:t>22.高校纪检监察体制改革的法治逻辑和推进路径研究；</w:t>
      </w:r>
    </w:p>
    <w:p>
      <w:pPr>
        <w:pStyle w:val="2"/>
        <w:spacing w:line="220" w:lineRule="auto"/>
        <w:ind w:left="580"/>
        <w:rPr>
          <w:sz w:val="30"/>
          <w:szCs w:val="30"/>
        </w:rPr>
      </w:pPr>
      <w:r>
        <w:rPr>
          <w:spacing w:val="4"/>
          <w:sz w:val="30"/>
          <w:szCs w:val="30"/>
        </w:rPr>
        <w:t>23.高校纪检监察干部核心能力建设与优化策略研究；</w:t>
      </w:r>
    </w:p>
    <w:p>
      <w:pPr>
        <w:pStyle w:val="2"/>
        <w:spacing w:before="223" w:line="220" w:lineRule="auto"/>
        <w:ind w:left="580"/>
        <w:rPr>
          <w:sz w:val="30"/>
          <w:szCs w:val="30"/>
        </w:rPr>
      </w:pPr>
      <w:r>
        <w:rPr>
          <w:spacing w:val="6"/>
          <w:sz w:val="30"/>
          <w:szCs w:val="30"/>
        </w:rPr>
        <w:t>24.</w:t>
      </w:r>
      <w:r>
        <w:rPr>
          <w:spacing w:val="-66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纪检监察干部腐败行为的发生机理研</w:t>
      </w:r>
      <w:r>
        <w:rPr>
          <w:spacing w:val="5"/>
          <w:sz w:val="30"/>
          <w:szCs w:val="30"/>
        </w:rPr>
        <w:t>究。</w:t>
      </w:r>
    </w:p>
    <w:p>
      <w:pPr>
        <w:spacing w:line="220" w:lineRule="auto"/>
        <w:rPr>
          <w:sz w:val="30"/>
          <w:szCs w:val="30"/>
        </w:rPr>
        <w:sectPr>
          <w:footerReference r:id="rId6" w:type="default"/>
          <w:pgSz w:w="11900" w:h="16830"/>
          <w:pgMar w:top="1430" w:right="1613" w:bottom="1238" w:left="1760" w:header="0" w:footer="1099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97" w:line="224" w:lineRule="auto"/>
        <w:ind w:left="3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附件2</w:t>
      </w:r>
    </w:p>
    <w:p>
      <w:pPr>
        <w:spacing w:before="221" w:line="219" w:lineRule="auto"/>
        <w:ind w:left="15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2024年度省教育纪检监察学会课题申报表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78" w:line="189" w:lineRule="auto"/>
        <w:ind w:left="4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申报单位(盖章):</w:t>
      </w:r>
    </w:p>
    <w:tbl>
      <w:tblPr>
        <w:tblStyle w:val="6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568"/>
        <w:gridCol w:w="879"/>
        <w:gridCol w:w="370"/>
        <w:gridCol w:w="2427"/>
        <w:gridCol w:w="2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462" w:lineRule="auto"/>
            </w:pPr>
          </w:p>
          <w:p>
            <w:pPr>
              <w:spacing w:before="68" w:line="219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申报课题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spacing w:before="256" w:line="221" w:lineRule="auto"/>
              <w:ind w:left="10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称</w:t>
            </w:r>
          </w:p>
        </w:tc>
        <w:tc>
          <w:tcPr>
            <w:tcW w:w="5059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817" w:type="dxa"/>
            <w:gridSpan w:val="3"/>
            <w:vAlign w:val="top"/>
          </w:tcPr>
          <w:p>
            <w:pPr>
              <w:spacing w:before="238" w:line="219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是否申报重点课题</w:t>
            </w:r>
          </w:p>
        </w:tc>
        <w:tc>
          <w:tcPr>
            <w:tcW w:w="5059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68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课题负责人</w:t>
            </w:r>
          </w:p>
        </w:tc>
        <w:tc>
          <w:tcPr>
            <w:tcW w:w="1568" w:type="dxa"/>
            <w:vAlign w:val="top"/>
          </w:tcPr>
          <w:p>
            <w:pPr>
              <w:spacing w:before="259" w:line="219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79" w:type="dxa"/>
            <w:vAlign w:val="top"/>
          </w:tcPr>
          <w:p>
            <w:pPr>
              <w:spacing w:before="239" w:line="219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2797" w:type="dxa"/>
            <w:gridSpan w:val="2"/>
            <w:vAlign w:val="top"/>
          </w:tcPr>
          <w:p>
            <w:pPr>
              <w:spacing w:before="249" w:line="219" w:lineRule="auto"/>
              <w:ind w:left="8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职务、职称</w:t>
            </w:r>
          </w:p>
        </w:tc>
        <w:tc>
          <w:tcPr>
            <w:tcW w:w="2632" w:type="dxa"/>
            <w:vAlign w:val="top"/>
          </w:tcPr>
          <w:p>
            <w:pPr>
              <w:spacing w:before="248" w:line="219" w:lineRule="auto"/>
              <w:ind w:left="8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68" w:type="dxa"/>
            <w:vAlign w:val="top"/>
          </w:tcPr>
          <w:p>
            <w:pPr>
              <w:pStyle w:val="5"/>
            </w:pPr>
          </w:p>
        </w:tc>
        <w:tc>
          <w:tcPr>
            <w:tcW w:w="879" w:type="dxa"/>
            <w:vAlign w:val="top"/>
          </w:tcPr>
          <w:p>
            <w:pPr>
              <w:pStyle w:val="5"/>
            </w:pPr>
          </w:p>
        </w:tc>
        <w:tc>
          <w:tcPr>
            <w:tcW w:w="279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3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2" w:lineRule="auto"/>
            </w:pPr>
          </w:p>
          <w:p>
            <w:pPr>
              <w:pStyle w:val="5"/>
              <w:spacing w:line="312" w:lineRule="auto"/>
            </w:pPr>
          </w:p>
          <w:p>
            <w:pPr>
              <w:pStyle w:val="5"/>
              <w:spacing w:line="313" w:lineRule="auto"/>
            </w:pPr>
          </w:p>
          <w:p>
            <w:pPr>
              <w:spacing w:before="69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课题组成员</w:t>
            </w:r>
          </w:p>
        </w:tc>
        <w:tc>
          <w:tcPr>
            <w:tcW w:w="1568" w:type="dxa"/>
            <w:vAlign w:val="top"/>
          </w:tcPr>
          <w:p>
            <w:pPr>
              <w:spacing w:before="250" w:line="219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879" w:type="dxa"/>
            <w:vAlign w:val="top"/>
          </w:tcPr>
          <w:p>
            <w:pPr>
              <w:spacing w:before="260" w:line="219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2797" w:type="dxa"/>
            <w:gridSpan w:val="2"/>
            <w:vAlign w:val="top"/>
          </w:tcPr>
          <w:p>
            <w:pPr>
              <w:spacing w:before="250" w:line="219" w:lineRule="auto"/>
              <w:ind w:left="8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职务、职称</w:t>
            </w:r>
          </w:p>
        </w:tc>
        <w:tc>
          <w:tcPr>
            <w:tcW w:w="2632" w:type="dxa"/>
            <w:vAlign w:val="top"/>
          </w:tcPr>
          <w:p>
            <w:pPr>
              <w:spacing w:before="249" w:line="219" w:lineRule="auto"/>
              <w:ind w:left="8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68" w:type="dxa"/>
            <w:vAlign w:val="top"/>
          </w:tcPr>
          <w:p>
            <w:pPr>
              <w:pStyle w:val="5"/>
            </w:pPr>
          </w:p>
        </w:tc>
        <w:tc>
          <w:tcPr>
            <w:tcW w:w="879" w:type="dxa"/>
            <w:vAlign w:val="top"/>
          </w:tcPr>
          <w:p>
            <w:pPr>
              <w:pStyle w:val="5"/>
            </w:pPr>
          </w:p>
        </w:tc>
        <w:tc>
          <w:tcPr>
            <w:tcW w:w="279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3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68" w:type="dxa"/>
            <w:vAlign w:val="top"/>
          </w:tcPr>
          <w:p>
            <w:pPr>
              <w:pStyle w:val="5"/>
            </w:pPr>
          </w:p>
        </w:tc>
        <w:tc>
          <w:tcPr>
            <w:tcW w:w="879" w:type="dxa"/>
            <w:vAlign w:val="top"/>
          </w:tcPr>
          <w:p>
            <w:pPr>
              <w:pStyle w:val="5"/>
            </w:pPr>
          </w:p>
        </w:tc>
        <w:tc>
          <w:tcPr>
            <w:tcW w:w="279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3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68" w:type="dxa"/>
            <w:vAlign w:val="top"/>
          </w:tcPr>
          <w:p>
            <w:pPr>
              <w:pStyle w:val="5"/>
            </w:pPr>
          </w:p>
        </w:tc>
        <w:tc>
          <w:tcPr>
            <w:tcW w:w="879" w:type="dxa"/>
            <w:vAlign w:val="top"/>
          </w:tcPr>
          <w:p>
            <w:pPr>
              <w:pStyle w:val="5"/>
            </w:pPr>
          </w:p>
        </w:tc>
        <w:tc>
          <w:tcPr>
            <w:tcW w:w="2797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63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9" w:hRule="atLeast"/>
        </w:trPr>
        <w:tc>
          <w:tcPr>
            <w:tcW w:w="1403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68" w:line="479" w:lineRule="auto"/>
              <w:ind w:left="64" w:firstLine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课题的研究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思路、方法、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创新之处及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预期成果(另</w:t>
            </w:r>
          </w:p>
          <w:p>
            <w:pPr>
              <w:spacing w:line="21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行附页)</w:t>
            </w:r>
          </w:p>
        </w:tc>
        <w:tc>
          <w:tcPr>
            <w:tcW w:w="7876" w:type="dxa"/>
            <w:gridSpan w:val="5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425" w:bottom="1197" w:left="1185" w:header="0" w:footer="1059" w:gutter="0"/>
          <w:cols w:space="720" w:num="1"/>
        </w:sectPr>
      </w:pPr>
    </w:p>
    <w:p>
      <w:pPr>
        <w:spacing w:before="66"/>
      </w:pPr>
    </w:p>
    <w:p>
      <w:pPr>
        <w:spacing w:before="65"/>
      </w:pPr>
    </w:p>
    <w:p>
      <w:pPr>
        <w:spacing w:before="65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3" w:hRule="atLeast"/>
        </w:trPr>
        <w:tc>
          <w:tcPr>
            <w:tcW w:w="1403" w:type="dxa"/>
            <w:vAlign w:val="top"/>
          </w:tcPr>
          <w:p>
            <w:pPr>
              <w:pStyle w:val="5"/>
            </w:pPr>
          </w:p>
        </w:tc>
        <w:tc>
          <w:tcPr>
            <w:tcW w:w="786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7" w:hRule="atLeast"/>
        </w:trPr>
        <w:tc>
          <w:tcPr>
            <w:tcW w:w="1403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61" w:line="541" w:lineRule="auto"/>
              <w:ind w:left="94" w:right="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课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题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研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究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纲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>附</w:t>
            </w:r>
          </w:p>
          <w:p>
            <w:pPr>
              <w:spacing w:line="221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)</w:t>
            </w:r>
          </w:p>
        </w:tc>
        <w:tc>
          <w:tcPr>
            <w:tcW w:w="7866" w:type="dxa"/>
            <w:vAlign w:val="top"/>
          </w:tcPr>
          <w:p>
            <w:pPr>
              <w:pStyle w:val="5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3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9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55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TJiNDYxNWRlNjA5ZmY5MTExNDdkZTZlMmFhNTAifQ=="/>
    <w:docVar w:name="KSO_WPS_MARK_KEY" w:val="6557b0d8-a499-4e75-8b84-0acf38aacc58"/>
  </w:docVars>
  <w:rsids>
    <w:rsidRoot w:val="63342914"/>
    <w:rsid w:val="633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2024-04-15T03:15:00Z</dcterms:created>
  <dc:creator>HUAWEI</dc:creator>
  <cp:lastModifiedBy>HUAWEI</cp:lastModifiedBy>
  <dcterms:modified xsi:type="dcterms:W3CDTF">2024-04-15T03:15:50Z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5A4D0FA2102F49A9A67636F3E77FE693</vt:lpwstr>
  </property>
</Properties>
</file>